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AD" w:rsidRDefault="00A85EB5" w:rsidP="00D67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MARIJAMPOLĖS KOLEGIJA</w:t>
      </w:r>
    </w:p>
    <w:p w:rsidR="00A85EB5" w:rsidRDefault="00A85EB5" w:rsidP="00D67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EDUKOLOGIJOS IR SOCIALINIO DARBO FAKULTETAS</w:t>
      </w:r>
    </w:p>
    <w:p w:rsidR="00A85EB5" w:rsidRDefault="00A85EB5" w:rsidP="00D671AD">
      <w:pPr>
        <w:spacing w:after="0" w:line="240" w:lineRule="auto"/>
        <w:jc w:val="center"/>
        <w:rPr>
          <w:rFonts w:ascii="Times New Roman" w:hAnsi="Times New Roman" w:cs="Times New Roman"/>
          <w:sz w:val="24"/>
          <w:szCs w:val="24"/>
        </w:rPr>
      </w:pPr>
      <w:r w:rsidRPr="00A85EB5">
        <w:rPr>
          <w:rFonts w:ascii="Times New Roman" w:hAnsi="Times New Roman" w:cs="Times New Roman"/>
          <w:sz w:val="24"/>
          <w:szCs w:val="24"/>
        </w:rPr>
        <w:tab/>
      </w:r>
      <w:r w:rsidRPr="00A85EB5">
        <w:rPr>
          <w:rFonts w:ascii="Times New Roman" w:hAnsi="Times New Roman" w:cs="Times New Roman"/>
          <w:sz w:val="24"/>
          <w:szCs w:val="24"/>
        </w:rPr>
        <w:tab/>
      </w:r>
      <w:r w:rsidRPr="00A85EB5">
        <w:rPr>
          <w:rFonts w:ascii="Times New Roman" w:hAnsi="Times New Roman" w:cs="Times New Roman"/>
          <w:sz w:val="24"/>
          <w:szCs w:val="24"/>
        </w:rPr>
        <w:tab/>
      </w:r>
    </w:p>
    <w:p w:rsidR="00A85EB5" w:rsidRDefault="00A85EB5" w:rsidP="00A85EB5">
      <w:pPr>
        <w:spacing w:after="0" w:line="240" w:lineRule="auto"/>
        <w:ind w:left="6480"/>
        <w:rPr>
          <w:rFonts w:ascii="Times New Roman" w:hAnsi="Times New Roman" w:cs="Times New Roman"/>
          <w:sz w:val="24"/>
          <w:szCs w:val="24"/>
        </w:rPr>
      </w:pPr>
      <w:r w:rsidRPr="00A85EB5">
        <w:rPr>
          <w:rFonts w:ascii="Times New Roman" w:hAnsi="Times New Roman" w:cs="Times New Roman"/>
          <w:sz w:val="24"/>
          <w:szCs w:val="24"/>
        </w:rPr>
        <w:t>TVIRTINU</w:t>
      </w:r>
    </w:p>
    <w:p w:rsidR="00A85EB5" w:rsidRDefault="00A85EB5" w:rsidP="00A85E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ESDF dekanas</w:t>
      </w:r>
    </w:p>
    <w:p w:rsidR="006D5DA7" w:rsidRDefault="006D5DA7" w:rsidP="00A85E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Kęstutis </w:t>
      </w:r>
      <w:proofErr w:type="spellStart"/>
      <w:r>
        <w:rPr>
          <w:rFonts w:ascii="Times New Roman" w:hAnsi="Times New Roman" w:cs="Times New Roman"/>
          <w:sz w:val="24"/>
          <w:szCs w:val="24"/>
        </w:rPr>
        <w:t>Traškevičius</w:t>
      </w:r>
      <w:proofErr w:type="spellEnd"/>
    </w:p>
    <w:p w:rsidR="006D5DA7" w:rsidRPr="00A85EB5" w:rsidRDefault="006D5DA7" w:rsidP="00A85EB5">
      <w:pPr>
        <w:spacing w:after="0" w:line="240" w:lineRule="auto"/>
        <w:rPr>
          <w:rFonts w:ascii="Times New Roman" w:hAnsi="Times New Roman" w:cs="Times New Roman"/>
          <w:sz w:val="24"/>
          <w:szCs w:val="24"/>
        </w:rPr>
      </w:pPr>
    </w:p>
    <w:p w:rsidR="006D5DA7" w:rsidRDefault="009612A8" w:rsidP="00D671AD">
      <w:pPr>
        <w:spacing w:after="0" w:line="240" w:lineRule="auto"/>
        <w:jc w:val="center"/>
        <w:rPr>
          <w:rFonts w:ascii="Times New Roman" w:hAnsi="Times New Roman" w:cs="Times New Roman"/>
          <w:b/>
          <w:sz w:val="24"/>
          <w:szCs w:val="24"/>
        </w:rPr>
      </w:pPr>
      <w:r w:rsidRPr="00D671AD">
        <w:rPr>
          <w:rFonts w:ascii="Times New Roman" w:hAnsi="Times New Roman" w:cs="Times New Roman"/>
          <w:b/>
          <w:sz w:val="24"/>
          <w:szCs w:val="24"/>
        </w:rPr>
        <w:t xml:space="preserve">Studijų programos „Verslo anglų kalba“ </w:t>
      </w:r>
    </w:p>
    <w:p w:rsidR="006D5DA7" w:rsidRDefault="00A85EB5" w:rsidP="00D67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išorinio vertinimo ekspertų tobulinimo rekomendacijų</w:t>
      </w:r>
      <w:r w:rsidR="009612A8" w:rsidRPr="00D671AD">
        <w:rPr>
          <w:rFonts w:ascii="Times New Roman" w:hAnsi="Times New Roman" w:cs="Times New Roman"/>
          <w:b/>
          <w:sz w:val="24"/>
          <w:szCs w:val="24"/>
        </w:rPr>
        <w:t xml:space="preserve"> </w:t>
      </w:r>
    </w:p>
    <w:p w:rsidR="009612A8" w:rsidRDefault="009612A8" w:rsidP="00D671AD">
      <w:pPr>
        <w:spacing w:after="0" w:line="240" w:lineRule="auto"/>
        <w:jc w:val="center"/>
        <w:rPr>
          <w:rFonts w:ascii="Times New Roman" w:hAnsi="Times New Roman" w:cs="Times New Roman"/>
          <w:b/>
          <w:sz w:val="24"/>
          <w:szCs w:val="24"/>
        </w:rPr>
      </w:pPr>
      <w:r w:rsidRPr="00D671AD">
        <w:rPr>
          <w:rFonts w:ascii="Times New Roman" w:hAnsi="Times New Roman" w:cs="Times New Roman"/>
          <w:b/>
          <w:sz w:val="24"/>
          <w:szCs w:val="24"/>
        </w:rPr>
        <w:t>pažangos ataskaita</w:t>
      </w:r>
    </w:p>
    <w:p w:rsidR="006D5DA7" w:rsidRPr="00D671AD" w:rsidRDefault="006D5DA7" w:rsidP="00D671AD">
      <w:pPr>
        <w:spacing w:after="0" w:line="240" w:lineRule="auto"/>
        <w:jc w:val="center"/>
        <w:rPr>
          <w:rFonts w:ascii="Times New Roman" w:hAnsi="Times New Roman" w:cs="Times New Roman"/>
          <w:b/>
          <w:sz w:val="24"/>
          <w:szCs w:val="24"/>
        </w:rPr>
      </w:pPr>
    </w:p>
    <w:tbl>
      <w:tblPr>
        <w:tblStyle w:val="Lentelstinklelis"/>
        <w:tblW w:w="4628" w:type="pct"/>
        <w:jc w:val="center"/>
        <w:tblLook w:val="04A0" w:firstRow="1" w:lastRow="0" w:firstColumn="1" w:lastColumn="0" w:noHBand="0" w:noVBand="1"/>
      </w:tblPr>
      <w:tblGrid>
        <w:gridCol w:w="556"/>
        <w:gridCol w:w="1934"/>
        <w:gridCol w:w="3474"/>
        <w:gridCol w:w="1723"/>
        <w:gridCol w:w="1749"/>
      </w:tblGrid>
      <w:tr w:rsidR="00E37896" w:rsidRPr="003B31D3" w:rsidTr="00124343">
        <w:trPr>
          <w:jc w:val="center"/>
        </w:trPr>
        <w:tc>
          <w:tcPr>
            <w:tcW w:w="305"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Eil. Nr.</w:t>
            </w:r>
          </w:p>
        </w:tc>
        <w:tc>
          <w:tcPr>
            <w:tcW w:w="1093"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Ekspertų rekomendacijos</w:t>
            </w:r>
          </w:p>
        </w:tc>
        <w:tc>
          <w:tcPr>
            <w:tcW w:w="1880"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Aukštosios mokyklos atlikti arba planuojami veiksmai</w:t>
            </w:r>
          </w:p>
        </w:tc>
        <w:tc>
          <w:tcPr>
            <w:tcW w:w="840"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Rekomendacijų įgyvendinimo terminai</w:t>
            </w:r>
          </w:p>
        </w:tc>
        <w:tc>
          <w:tcPr>
            <w:tcW w:w="883"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Pastabos</w:t>
            </w:r>
          </w:p>
        </w:tc>
      </w:tr>
      <w:tr w:rsidR="00E37896" w:rsidRPr="003B31D3" w:rsidTr="00124343">
        <w:trPr>
          <w:jc w:val="center"/>
        </w:trPr>
        <w:tc>
          <w:tcPr>
            <w:tcW w:w="305" w:type="pct"/>
            <w:vMerge w:val="restar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1.</w:t>
            </w:r>
          </w:p>
        </w:tc>
        <w:tc>
          <w:tcPr>
            <w:tcW w:w="1093" w:type="pct"/>
            <w:vAlign w:val="center"/>
          </w:tcPr>
          <w:p w:rsidR="00E37896" w:rsidRPr="003B31D3" w:rsidRDefault="00E37896" w:rsidP="00124343">
            <w:pPr>
              <w:rPr>
                <w:rFonts w:ascii="Times New Roman" w:hAnsi="Times New Roman" w:cs="Times New Roman"/>
                <w:bCs/>
                <w:sz w:val="24"/>
                <w:szCs w:val="24"/>
              </w:rPr>
            </w:pPr>
            <w:r w:rsidRPr="003B31D3">
              <w:rPr>
                <w:rFonts w:ascii="Times New Roman" w:hAnsi="Times New Roman" w:cs="Times New Roman"/>
                <w:sz w:val="24"/>
                <w:szCs w:val="24"/>
              </w:rPr>
              <w:t>Patikslinti programos tikslus ir studijų rezultatus bei jų formuluotes, kad šie komponentai labiau sietųsi ir atspindėtų studijų programos turinį.</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Patikslinti ir sukonkretinti studijų programos tikslai ir rezultatai, daugiau orientuoti į filologijos kryptį: parengti specialistą, gebantį komunikuoti anglų kalba įvairiose verslo situacijose, parengti dalykinius dokumentus anglų bei lietuvių kalbomis, juos referuoti ir tarpininkauti tarp verslo įmonių bei užsienio klientų, rinkti ir pritaikyti (buvo – analizuoti) duomenis, reikalingus profesinės veiklos problemoms spręsti (buvo – reikalingus profesinės veiklos inovacijų diegimui ir tobulinimui), bendrauti su verslo partneriais Lietuvoje ir užsienyje, išsiugdyti poreikį nuolatiniam mokymuisi ir tobulėjimui.</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2014-12-31</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Įgyvendinta.</w:t>
            </w:r>
          </w:p>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Pakeisti du programos tikslai. Numatoma įvertinti tikslų ir studijų rezultatų formuluotes, išleidus pirmąją studentų laidą.</w:t>
            </w:r>
          </w:p>
          <w:p w:rsidR="00E37896" w:rsidRPr="003B31D3" w:rsidRDefault="00E37896" w:rsidP="00124343">
            <w:pPr>
              <w:rPr>
                <w:rFonts w:ascii="Times New Roman" w:hAnsi="Times New Roman" w:cs="Times New Roman"/>
                <w:sz w:val="24"/>
                <w:szCs w:val="24"/>
              </w:rPr>
            </w:pPr>
          </w:p>
        </w:tc>
      </w:tr>
      <w:tr w:rsidR="00E37896" w:rsidRPr="003B31D3" w:rsidTr="00124343">
        <w:trPr>
          <w:jc w:val="center"/>
        </w:trPr>
        <w:tc>
          <w:tcPr>
            <w:tcW w:w="305" w:type="pct"/>
            <w:vMerge/>
            <w:vAlign w:val="center"/>
          </w:tcPr>
          <w:p w:rsidR="00E37896" w:rsidRPr="003B31D3" w:rsidRDefault="00E37896" w:rsidP="00124343">
            <w:pPr>
              <w:jc w:val="center"/>
              <w:rPr>
                <w:rFonts w:ascii="Times New Roman" w:hAnsi="Times New Roman" w:cs="Times New Roman"/>
                <w:sz w:val="24"/>
                <w:szCs w:val="24"/>
              </w:rPr>
            </w:pPr>
          </w:p>
        </w:tc>
        <w:tc>
          <w:tcPr>
            <w:tcW w:w="109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Peržiūrėti studijų rezultatus, kad jie labiau atspindėtų filologinę studijų programos kryptį</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Pakeisti studijų rezultatai, kad būtų pasiekta dermė tarp studijų rezultatų ir dalykų: dabar – 3.3. „Gebės parengti dokumentus pagal Lietuvos Respublikos ir Europos Sąjungos standartus keliomis kalbomis“, tokiu būdu atliepiant Antrosios užsienio kalbos dalykų rezultatus. 4.3 studijų rezultatas pakeistas į „Išmanys savo šalies istorinį bei kultūrinį paveldą bendraujant su kitomis verslo įstaigomis, kolegomis, klientais“ siekiant dermės su Lietuvos kultūros istorijos dalyku.</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2014-12-31</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Įgyvendinta.</w:t>
            </w:r>
          </w:p>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Kitų studijų rezultatų tobulinim</w:t>
            </w:r>
            <w:r>
              <w:rPr>
                <w:rFonts w:ascii="Times New Roman" w:hAnsi="Times New Roman" w:cs="Times New Roman"/>
                <w:sz w:val="24"/>
                <w:szCs w:val="24"/>
              </w:rPr>
              <w:t>a</w:t>
            </w:r>
            <w:r w:rsidRPr="003B31D3">
              <w:rPr>
                <w:rFonts w:ascii="Times New Roman" w:hAnsi="Times New Roman" w:cs="Times New Roman"/>
                <w:sz w:val="24"/>
                <w:szCs w:val="24"/>
              </w:rPr>
              <w:t xml:space="preserve">s bus vykdomas po šios programos </w:t>
            </w:r>
            <w:r>
              <w:rPr>
                <w:rFonts w:ascii="Times New Roman" w:hAnsi="Times New Roman" w:cs="Times New Roman"/>
                <w:sz w:val="24"/>
                <w:szCs w:val="24"/>
              </w:rPr>
              <w:t xml:space="preserve">studijų </w:t>
            </w:r>
            <w:r w:rsidRPr="003B31D3">
              <w:rPr>
                <w:rFonts w:ascii="Times New Roman" w:hAnsi="Times New Roman" w:cs="Times New Roman"/>
                <w:sz w:val="24"/>
                <w:szCs w:val="24"/>
              </w:rPr>
              <w:t xml:space="preserve">baigimo.  </w:t>
            </w:r>
          </w:p>
        </w:tc>
      </w:tr>
      <w:tr w:rsidR="00E37896" w:rsidRPr="003B31D3" w:rsidTr="00124343">
        <w:trPr>
          <w:jc w:val="center"/>
        </w:trPr>
        <w:tc>
          <w:tcPr>
            <w:tcW w:w="305"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2.</w:t>
            </w:r>
          </w:p>
        </w:tc>
        <w:tc>
          <w:tcPr>
            <w:tcW w:w="109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 xml:space="preserve">Peržiūrėti ir pakoreguoti studijų programos </w:t>
            </w:r>
            <w:r w:rsidRPr="003B31D3">
              <w:rPr>
                <w:rFonts w:ascii="Times New Roman" w:hAnsi="Times New Roman" w:cs="Times New Roman"/>
                <w:sz w:val="24"/>
                <w:szCs w:val="24"/>
              </w:rPr>
              <w:lastRenderedPageBreak/>
              <w:t>sandarą (dalykų išdėstymą studijų plane), atkreipiant dėmesį į studijų programos sritį ir kryptį, studijų programos tikslus ir numatomus rezultatus.</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lastRenderedPageBreak/>
              <w:t xml:space="preserve">Iš studijų krypties dalykų keturi verslo ir vadybos dalykai perkelti į pasirenkamųjų dalykų bloką. Iš pasirenkamųjų dalyko bloko į </w:t>
            </w:r>
            <w:r w:rsidRPr="003B31D3">
              <w:rPr>
                <w:rFonts w:ascii="Times New Roman" w:hAnsi="Times New Roman" w:cs="Times New Roman"/>
                <w:sz w:val="24"/>
                <w:szCs w:val="24"/>
              </w:rPr>
              <w:lastRenderedPageBreak/>
              <w:t>studijų krypties perkeltas Antrosios užsienio  kalbos dalykas, taip pat padidinta kreditų nuo 6 iki 12. Po studijų plano pakeitimų studijų krypties dalykų bloke didžiąją dalį sudaro filologiniai dalykai.</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lastRenderedPageBreak/>
              <w:t>2014-12-31</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Įgyvendinta.</w:t>
            </w:r>
          </w:p>
        </w:tc>
      </w:tr>
      <w:tr w:rsidR="00E37896" w:rsidRPr="003B31D3" w:rsidTr="00124343">
        <w:trPr>
          <w:jc w:val="center"/>
        </w:trPr>
        <w:tc>
          <w:tcPr>
            <w:tcW w:w="305"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3.</w:t>
            </w:r>
          </w:p>
        </w:tc>
        <w:tc>
          <w:tcPr>
            <w:tcW w:w="109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Peržiūrėti ir patobulinti kai kurių studijų dalykų aprašus bei atnaujinti literatūros šaltinių sąrašą.</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Bendrųjų koleginių dalykų sąraše buvęs dalykas Lietuvių kalbos kultūra ir tvarkyba pertvarkytas pagal Valstybinės lietuvių kalbos komisijos atnaujintą Specialybės kalbos programą , Lietuvių kalbos kultūra ir tvarkyba pakeista į Kalbos kultūrą ir specialybės kalbą, ir pertvarkytas dalyko aprašas</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Kiekvienais metais.</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Atlikta iš dalies. Vykdoma.</w:t>
            </w:r>
          </w:p>
          <w:p w:rsidR="00E37896" w:rsidRPr="003B31D3" w:rsidRDefault="00E37896" w:rsidP="00124343">
            <w:pPr>
              <w:rPr>
                <w:rFonts w:ascii="Times New Roman" w:hAnsi="Times New Roman" w:cs="Times New Roman"/>
                <w:sz w:val="24"/>
                <w:szCs w:val="24"/>
              </w:rPr>
            </w:pPr>
          </w:p>
        </w:tc>
      </w:tr>
      <w:tr w:rsidR="00E37896" w:rsidRPr="003B31D3" w:rsidTr="00124343">
        <w:trPr>
          <w:jc w:val="center"/>
        </w:trPr>
        <w:tc>
          <w:tcPr>
            <w:tcW w:w="305" w:type="pc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4.</w:t>
            </w:r>
          </w:p>
        </w:tc>
        <w:tc>
          <w:tcPr>
            <w:tcW w:w="109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Apibrėžti baigiamojo darbo rengimo procesą, jo tikslus ir uždavinius.</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Pataisytas baigiamojo darbo aprašas: tikslai, uždaviniai, rengimo procesas, kursinis darbas yra Dalykinės kalbos praktikos dalis.</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2014-12-31</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Įgyvendinta.</w:t>
            </w:r>
          </w:p>
          <w:p w:rsidR="00E37896" w:rsidRPr="003B31D3" w:rsidRDefault="00E37896" w:rsidP="00124343">
            <w:pPr>
              <w:rPr>
                <w:rFonts w:ascii="Times New Roman" w:hAnsi="Times New Roman" w:cs="Times New Roman"/>
                <w:sz w:val="24"/>
                <w:szCs w:val="24"/>
                <w:lang w:val="en-GB"/>
              </w:rPr>
            </w:pPr>
            <w:r w:rsidRPr="003B31D3">
              <w:rPr>
                <w:rFonts w:ascii="Times New Roman" w:hAnsi="Times New Roman" w:cs="Times New Roman"/>
                <w:sz w:val="24"/>
                <w:szCs w:val="24"/>
              </w:rPr>
              <w:t>Baigiamųjų darbų rengimo tobulinimas numatomas po pirmosios absolventų laidos (</w:t>
            </w:r>
            <w:r w:rsidRPr="003B31D3">
              <w:rPr>
                <w:rFonts w:ascii="Times New Roman" w:hAnsi="Times New Roman" w:cs="Times New Roman"/>
                <w:sz w:val="24"/>
                <w:szCs w:val="24"/>
                <w:lang w:val="en-GB"/>
              </w:rPr>
              <w:t>2018 m.)</w:t>
            </w:r>
          </w:p>
        </w:tc>
      </w:tr>
      <w:tr w:rsidR="00E37896" w:rsidRPr="003B31D3" w:rsidTr="00124343">
        <w:trPr>
          <w:jc w:val="center"/>
        </w:trPr>
        <w:tc>
          <w:tcPr>
            <w:tcW w:w="305" w:type="pct"/>
            <w:vMerge w:val="restart"/>
            <w:vAlign w:val="center"/>
          </w:tcPr>
          <w:p w:rsidR="00E37896" w:rsidRPr="003B31D3" w:rsidRDefault="00E37896" w:rsidP="00124343">
            <w:pPr>
              <w:jc w:val="center"/>
              <w:rPr>
                <w:rFonts w:ascii="Times New Roman" w:hAnsi="Times New Roman" w:cs="Times New Roman"/>
                <w:sz w:val="24"/>
                <w:szCs w:val="24"/>
              </w:rPr>
            </w:pPr>
            <w:r w:rsidRPr="003B31D3">
              <w:rPr>
                <w:rFonts w:ascii="Times New Roman" w:hAnsi="Times New Roman" w:cs="Times New Roman"/>
                <w:sz w:val="24"/>
                <w:szCs w:val="24"/>
              </w:rPr>
              <w:t>5.</w:t>
            </w:r>
          </w:p>
        </w:tc>
        <w:tc>
          <w:tcPr>
            <w:tcW w:w="109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Įgyvendinant vidinio kokybės užtikrinimo priemones tobulinti grįžtamojo ryšio procesą, numatant būdus, kaip informacija apie priimtus sprendimus bus perduodama dalyvavusiems apklausose studentams, dėstytojams bei socialiniams partneriams</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Perduoti grįžtamąjį ryšį apie priimtus sprendimus dalyvavusiems apklausose studentams, dėstytojams bei socialiniams partneriams posėdžių metu, vykdant  diskusijas su studentais, socialiniais partneriais, dėstytojais, pristatant apklausų, ataskaitų rezultatus susitikimuose bei susirinkimuose (apskrito stalo diskusijų metu).</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Kiekvienais metais.</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Įgyvendinta.</w:t>
            </w:r>
          </w:p>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Studijų kokybei tobulinti organizuojamos išvykos į kitus universitetus, susipažįstama su studijomis, organizuojami susitikimai su studentais, galimybėmis tobulintis užsienyje</w:t>
            </w:r>
          </w:p>
          <w:p w:rsidR="00E37896" w:rsidRPr="003B31D3" w:rsidRDefault="00E37896" w:rsidP="00124343">
            <w:pPr>
              <w:rPr>
                <w:rFonts w:ascii="Times New Roman" w:hAnsi="Times New Roman" w:cs="Times New Roman"/>
                <w:sz w:val="24"/>
                <w:szCs w:val="24"/>
              </w:rPr>
            </w:pPr>
          </w:p>
        </w:tc>
      </w:tr>
      <w:tr w:rsidR="00E37896" w:rsidRPr="003B31D3" w:rsidTr="00124343">
        <w:trPr>
          <w:jc w:val="center"/>
        </w:trPr>
        <w:tc>
          <w:tcPr>
            <w:tcW w:w="305" w:type="pct"/>
            <w:vMerge/>
            <w:vAlign w:val="center"/>
          </w:tcPr>
          <w:p w:rsidR="00E37896" w:rsidRPr="003B31D3" w:rsidRDefault="00E37896" w:rsidP="00124343">
            <w:pPr>
              <w:jc w:val="center"/>
              <w:rPr>
                <w:rFonts w:ascii="Times New Roman" w:hAnsi="Times New Roman" w:cs="Times New Roman"/>
                <w:sz w:val="24"/>
                <w:szCs w:val="24"/>
              </w:rPr>
            </w:pPr>
          </w:p>
        </w:tc>
        <w:tc>
          <w:tcPr>
            <w:tcW w:w="109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Plėtoti kokybės užtikrinimo sistemą, aiškiai paskirstant atsakomybes, siekiant užtikrinti grįžtamąjį ryšį</w:t>
            </w:r>
          </w:p>
        </w:tc>
        <w:tc>
          <w:tcPr>
            <w:tcW w:w="188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Paskirstyti atsakomybes, užtikrinti grįžtamąjį ryšį:  kiekvieną semestrą apklausti dėstančius dėstytojus, studentus, vertinti pasiekimus, studijų kokybę, reaguoti į pastabas, lūkesčius.</w:t>
            </w:r>
          </w:p>
        </w:tc>
        <w:tc>
          <w:tcPr>
            <w:tcW w:w="840"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Kiekvieną semestrą.</w:t>
            </w:r>
          </w:p>
        </w:tc>
        <w:tc>
          <w:tcPr>
            <w:tcW w:w="883" w:type="pct"/>
            <w:vAlign w:val="center"/>
          </w:tcPr>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Vykdoma.</w:t>
            </w:r>
          </w:p>
          <w:p w:rsidR="00E37896" w:rsidRPr="003B31D3" w:rsidRDefault="00E37896" w:rsidP="00124343">
            <w:pPr>
              <w:rPr>
                <w:rFonts w:ascii="Times New Roman" w:hAnsi="Times New Roman" w:cs="Times New Roman"/>
                <w:sz w:val="24"/>
                <w:szCs w:val="24"/>
              </w:rPr>
            </w:pPr>
            <w:r w:rsidRPr="003B31D3">
              <w:rPr>
                <w:rFonts w:ascii="Times New Roman" w:hAnsi="Times New Roman" w:cs="Times New Roman"/>
                <w:sz w:val="24"/>
                <w:szCs w:val="24"/>
              </w:rPr>
              <w:t xml:space="preserve">Komiteto pirmininkas organizuoja diskusijas, susitikimus, posėdžius, </w:t>
            </w:r>
            <w:r w:rsidRPr="003B31D3">
              <w:rPr>
                <w:rFonts w:ascii="Times New Roman" w:hAnsi="Times New Roman" w:cs="Times New Roman"/>
                <w:sz w:val="24"/>
                <w:szCs w:val="24"/>
              </w:rPr>
              <w:lastRenderedPageBreak/>
              <w:t>kurių metu perduoda informaciją dėstytojams, socialiniams partneriams, studentams, praktikos vadovams.</w:t>
            </w:r>
          </w:p>
        </w:tc>
      </w:tr>
    </w:tbl>
    <w:p w:rsidR="00A85EB5" w:rsidRDefault="00A85EB5" w:rsidP="00EF7511">
      <w:pPr>
        <w:jc w:val="right"/>
        <w:rPr>
          <w:rFonts w:ascii="Times New Roman" w:hAnsi="Times New Roman" w:cs="Times New Roman"/>
          <w:sz w:val="24"/>
          <w:szCs w:val="24"/>
        </w:rPr>
      </w:pPr>
      <w:bookmarkStart w:id="0" w:name="_GoBack"/>
      <w:bookmarkEnd w:id="0"/>
    </w:p>
    <w:p w:rsidR="003C0F97" w:rsidRPr="00D671AD" w:rsidRDefault="00EF7511" w:rsidP="00EF7511">
      <w:pPr>
        <w:jc w:val="right"/>
        <w:rPr>
          <w:rFonts w:ascii="Times New Roman" w:hAnsi="Times New Roman" w:cs="Times New Roman"/>
          <w:sz w:val="24"/>
          <w:szCs w:val="24"/>
        </w:rPr>
      </w:pPr>
      <w:r w:rsidRPr="00D671AD">
        <w:rPr>
          <w:rFonts w:ascii="Times New Roman" w:hAnsi="Times New Roman" w:cs="Times New Roman"/>
          <w:sz w:val="24"/>
          <w:szCs w:val="24"/>
        </w:rPr>
        <w:t xml:space="preserve">Studijų programos pirmininkė </w:t>
      </w:r>
      <w:proofErr w:type="spellStart"/>
      <w:r w:rsidR="00E37896">
        <w:rPr>
          <w:rFonts w:ascii="Times New Roman" w:hAnsi="Times New Roman" w:cs="Times New Roman"/>
          <w:sz w:val="24"/>
          <w:szCs w:val="24"/>
        </w:rPr>
        <w:t>lekt</w:t>
      </w:r>
      <w:proofErr w:type="spellEnd"/>
      <w:r w:rsidR="00E37896">
        <w:rPr>
          <w:rFonts w:ascii="Times New Roman" w:hAnsi="Times New Roman" w:cs="Times New Roman"/>
          <w:sz w:val="24"/>
          <w:szCs w:val="24"/>
        </w:rPr>
        <w:t xml:space="preserve">. </w:t>
      </w:r>
      <w:r w:rsidRPr="00D671AD">
        <w:rPr>
          <w:rFonts w:ascii="Times New Roman" w:hAnsi="Times New Roman" w:cs="Times New Roman"/>
          <w:sz w:val="24"/>
          <w:szCs w:val="24"/>
        </w:rPr>
        <w:t xml:space="preserve">Odeta </w:t>
      </w:r>
      <w:proofErr w:type="spellStart"/>
      <w:r w:rsidRPr="00D671AD">
        <w:rPr>
          <w:rFonts w:ascii="Times New Roman" w:hAnsi="Times New Roman" w:cs="Times New Roman"/>
          <w:sz w:val="24"/>
          <w:szCs w:val="24"/>
        </w:rPr>
        <w:t>Grušelionienė</w:t>
      </w:r>
      <w:proofErr w:type="spellEnd"/>
    </w:p>
    <w:sectPr w:rsidR="003C0F97" w:rsidRPr="00D671AD" w:rsidSect="00A85EB5">
      <w:pgSz w:w="11906" w:h="16838"/>
      <w:pgMar w:top="851" w:right="284"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A8"/>
    <w:rsid w:val="000C7D42"/>
    <w:rsid w:val="00143E13"/>
    <w:rsid w:val="003247CA"/>
    <w:rsid w:val="00334DA9"/>
    <w:rsid w:val="003C0F97"/>
    <w:rsid w:val="004254F1"/>
    <w:rsid w:val="004B47EE"/>
    <w:rsid w:val="004C5A39"/>
    <w:rsid w:val="00501542"/>
    <w:rsid w:val="0058534C"/>
    <w:rsid w:val="005B49DB"/>
    <w:rsid w:val="006227AC"/>
    <w:rsid w:val="006D5DA7"/>
    <w:rsid w:val="00765351"/>
    <w:rsid w:val="007D19E1"/>
    <w:rsid w:val="009612A8"/>
    <w:rsid w:val="00973A42"/>
    <w:rsid w:val="00A85EB5"/>
    <w:rsid w:val="00AB36DB"/>
    <w:rsid w:val="00B16144"/>
    <w:rsid w:val="00BC12B3"/>
    <w:rsid w:val="00C56C4E"/>
    <w:rsid w:val="00CA5C30"/>
    <w:rsid w:val="00D671AD"/>
    <w:rsid w:val="00D95EA1"/>
    <w:rsid w:val="00E37896"/>
    <w:rsid w:val="00EF7511"/>
    <w:rsid w:val="00F147A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BF36E-F9D6-46C7-ABFD-53CC871F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12A8"/>
    <w:rPr>
      <w:rFonts w:ascii="Calibri" w:eastAsia="Calibri" w:hAnsi="Calibri"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612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612A8"/>
    <w:pPr>
      <w:ind w:left="720"/>
      <w:contextualSpacing/>
    </w:pPr>
  </w:style>
  <w:style w:type="paragraph" w:customStyle="1" w:styleId="Default">
    <w:name w:val="Default"/>
    <w:rsid w:val="00973A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2943</Words>
  <Characters>1678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dc:creator>
  <cp:lastModifiedBy>Darbuotojas</cp:lastModifiedBy>
  <cp:revision>3</cp:revision>
  <dcterms:created xsi:type="dcterms:W3CDTF">2016-09-28T05:40:00Z</dcterms:created>
  <dcterms:modified xsi:type="dcterms:W3CDTF">2016-09-28T05:46:00Z</dcterms:modified>
</cp:coreProperties>
</file>